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13664" w14:textId="09724CC4" w:rsidR="008C3B8E" w:rsidRDefault="00866F73" w:rsidP="008C3B8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1589">
        <w:rPr>
          <w:noProof/>
          <w:sz w:val="28"/>
          <w:szCs w:val="28"/>
        </w:rPr>
        <w:drawing>
          <wp:inline distT="0" distB="0" distL="0" distR="0" wp14:anchorId="00F79E33" wp14:editId="367CC2D6">
            <wp:extent cx="638175" cy="647700"/>
            <wp:effectExtent l="0" t="0" r="9525" b="0"/>
            <wp:docPr id="655868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FB130" w14:textId="77777777" w:rsidR="00866F73" w:rsidRDefault="00866F73" w:rsidP="008C3B8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A3F1E8" w14:textId="77777777" w:rsidR="00866F73" w:rsidRPr="00866F73" w:rsidRDefault="00866F73" w:rsidP="00866F73">
      <w:pPr>
        <w:jc w:val="center"/>
        <w:rPr>
          <w:rFonts w:ascii="Times New Roman" w:hAnsi="Times New Roman" w:cs="Times New Roman"/>
          <w:sz w:val="28"/>
          <w:szCs w:val="28"/>
        </w:rPr>
      </w:pPr>
      <w:r w:rsidRPr="00866F73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866F73">
        <w:rPr>
          <w:rFonts w:ascii="Times New Roman" w:eastAsia="Calibri" w:hAnsi="Times New Roman" w:cs="Times New Roman"/>
          <w:sz w:val="28"/>
          <w:szCs w:val="28"/>
        </w:rPr>
        <w:t>Кӧрткерӧсса</w:t>
      </w:r>
      <w:proofErr w:type="spellEnd"/>
      <w:r w:rsidRPr="00866F73">
        <w:rPr>
          <w:rFonts w:ascii="Times New Roman" w:eastAsia="Calibri" w:hAnsi="Times New Roman" w:cs="Times New Roman"/>
          <w:sz w:val="28"/>
          <w:szCs w:val="28"/>
        </w:rPr>
        <w:t xml:space="preserve"> культура да </w:t>
      </w:r>
      <w:proofErr w:type="spellStart"/>
      <w:r w:rsidRPr="00866F73">
        <w:rPr>
          <w:rFonts w:ascii="Times New Roman" w:eastAsia="Calibri" w:hAnsi="Times New Roman" w:cs="Times New Roman"/>
          <w:sz w:val="28"/>
          <w:szCs w:val="28"/>
        </w:rPr>
        <w:t>прӧст</w:t>
      </w:r>
      <w:proofErr w:type="spellEnd"/>
      <w:r w:rsidRPr="00866F73">
        <w:rPr>
          <w:rFonts w:ascii="Times New Roman" w:eastAsia="Calibri" w:hAnsi="Times New Roman" w:cs="Times New Roman"/>
          <w:sz w:val="28"/>
          <w:szCs w:val="28"/>
        </w:rPr>
        <w:t xml:space="preserve"> кад </w:t>
      </w:r>
      <w:proofErr w:type="spellStart"/>
      <w:r w:rsidRPr="00866F73">
        <w:rPr>
          <w:rFonts w:ascii="Times New Roman" w:eastAsia="Calibri" w:hAnsi="Times New Roman" w:cs="Times New Roman"/>
          <w:sz w:val="28"/>
          <w:szCs w:val="28"/>
        </w:rPr>
        <w:t>шӧрин</w:t>
      </w:r>
      <w:proofErr w:type="spellEnd"/>
      <w:r w:rsidRPr="00866F73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Pr="00866F73">
        <w:rPr>
          <w:rFonts w:ascii="Times New Roman" w:eastAsia="Calibri" w:hAnsi="Times New Roman" w:cs="Times New Roman"/>
          <w:sz w:val="28"/>
          <w:szCs w:val="28"/>
        </w:rPr>
        <w:t>муниципальнӧй</w:t>
      </w:r>
      <w:proofErr w:type="spellEnd"/>
      <w:r w:rsidRPr="00866F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866F73">
        <w:rPr>
          <w:rFonts w:ascii="Times New Roman" w:eastAsia="Calibri" w:hAnsi="Times New Roman" w:cs="Times New Roman"/>
          <w:sz w:val="28"/>
          <w:szCs w:val="28"/>
        </w:rPr>
        <w:t>сьӧмкуд</w:t>
      </w:r>
      <w:proofErr w:type="spellEnd"/>
      <w:r w:rsidRPr="00866F73">
        <w:rPr>
          <w:rFonts w:ascii="Times New Roman" w:eastAsia="Calibri" w:hAnsi="Times New Roman" w:cs="Times New Roman"/>
          <w:sz w:val="28"/>
          <w:szCs w:val="28"/>
        </w:rPr>
        <w:t xml:space="preserve"> учреждение»</w:t>
      </w:r>
    </w:p>
    <w:p w14:paraId="49BF1E36" w14:textId="77777777" w:rsidR="00866F73" w:rsidRPr="00866F73" w:rsidRDefault="00866F73" w:rsidP="00866F73">
      <w:pPr>
        <w:jc w:val="center"/>
        <w:rPr>
          <w:rFonts w:ascii="Times New Roman" w:hAnsi="Times New Roman" w:cs="Times New Roman"/>
          <w:sz w:val="28"/>
          <w:szCs w:val="28"/>
        </w:rPr>
      </w:pPr>
      <w:r w:rsidRPr="00866F73">
        <w:rPr>
          <w:rFonts w:ascii="Times New Roman" w:hAnsi="Times New Roman" w:cs="Times New Roman"/>
          <w:sz w:val="28"/>
          <w:szCs w:val="28"/>
        </w:rPr>
        <w:t>МБУ «Корткеросский центр культуры и досуга»</w:t>
      </w:r>
    </w:p>
    <w:p w14:paraId="39965F24" w14:textId="77777777" w:rsidR="00866F73" w:rsidRPr="00866F73" w:rsidRDefault="00866F73" w:rsidP="00866F7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ПРИКАЗ</w:t>
      </w:r>
    </w:p>
    <w:p w14:paraId="62B10F47" w14:textId="77777777" w:rsidR="00866F73" w:rsidRPr="00866F73" w:rsidRDefault="00866F73" w:rsidP="008C3B8E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14F81691" w14:textId="77777777" w:rsidR="008C3B8E" w:rsidRPr="00866F73" w:rsidRDefault="008C3B8E" w:rsidP="008C3B8E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0C867A17" w14:textId="77777777" w:rsidR="008C3B8E" w:rsidRPr="00866F73" w:rsidRDefault="008C3B8E" w:rsidP="008C3B8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1E068DCA" w14:textId="67CEE3FC" w:rsidR="008C3B8E" w:rsidRPr="00866F73" w:rsidRDefault="00866F73" w:rsidP="008C3B8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09</w:t>
      </w:r>
      <w:r w:rsidR="00533A75" w:rsidRPr="00866F73">
        <w:rPr>
          <w:rFonts w:ascii="Times New Roman" w:hAnsi="Times New Roman" w:cs="Times New Roman"/>
          <w:bCs/>
          <w:sz w:val="28"/>
          <w:szCs w:val="28"/>
        </w:rPr>
        <w:t>.</w:t>
      </w:r>
      <w:r w:rsidRPr="00866F73">
        <w:rPr>
          <w:rFonts w:ascii="Times New Roman" w:hAnsi="Times New Roman" w:cs="Times New Roman"/>
          <w:bCs/>
          <w:sz w:val="28"/>
          <w:szCs w:val="28"/>
        </w:rPr>
        <w:t>0</w:t>
      </w:r>
      <w:r w:rsidR="00FA5C73" w:rsidRPr="00866F73">
        <w:rPr>
          <w:rFonts w:ascii="Times New Roman" w:hAnsi="Times New Roman" w:cs="Times New Roman"/>
          <w:bCs/>
          <w:sz w:val="28"/>
          <w:szCs w:val="28"/>
        </w:rPr>
        <w:t>1</w:t>
      </w:r>
      <w:r w:rsidR="00B82FBC" w:rsidRPr="00866F73">
        <w:rPr>
          <w:rFonts w:ascii="Times New Roman" w:hAnsi="Times New Roman" w:cs="Times New Roman"/>
          <w:bCs/>
          <w:sz w:val="28"/>
          <w:szCs w:val="28"/>
        </w:rPr>
        <w:t>.20</w:t>
      </w:r>
      <w:r w:rsidRPr="00866F73">
        <w:rPr>
          <w:rFonts w:ascii="Times New Roman" w:hAnsi="Times New Roman" w:cs="Times New Roman"/>
          <w:bCs/>
          <w:sz w:val="28"/>
          <w:szCs w:val="28"/>
        </w:rPr>
        <w:t>24</w:t>
      </w:r>
      <w:r w:rsidR="008C3B8E" w:rsidRPr="00866F73">
        <w:rPr>
          <w:rFonts w:ascii="Times New Roman" w:hAnsi="Times New Roman" w:cs="Times New Roman"/>
          <w:bCs/>
          <w:sz w:val="28"/>
          <w:szCs w:val="28"/>
        </w:rPr>
        <w:t xml:space="preserve"> г.                                               </w:t>
      </w:r>
      <w:r w:rsidR="00406F71" w:rsidRPr="00866F73">
        <w:rPr>
          <w:rFonts w:ascii="Times New Roman" w:hAnsi="Times New Roman" w:cs="Times New Roman"/>
          <w:bCs/>
          <w:sz w:val="28"/>
          <w:szCs w:val="28"/>
        </w:rPr>
        <w:t xml:space="preserve">                        </w:t>
      </w: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406F71" w:rsidRPr="00866F73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533A75" w:rsidRPr="00866F7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06F71" w:rsidRPr="00866F7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Pr="00866F73">
        <w:rPr>
          <w:rFonts w:ascii="Times New Roman" w:hAnsi="Times New Roman" w:cs="Times New Roman"/>
          <w:bCs/>
          <w:sz w:val="28"/>
          <w:szCs w:val="28"/>
        </w:rPr>
        <w:t>9</w:t>
      </w:r>
      <w:r w:rsidR="008C3B8E" w:rsidRPr="00866F73">
        <w:rPr>
          <w:rFonts w:ascii="Times New Roman" w:hAnsi="Times New Roman" w:cs="Times New Roman"/>
          <w:bCs/>
          <w:sz w:val="28"/>
          <w:szCs w:val="28"/>
        </w:rPr>
        <w:t xml:space="preserve"> - од</w:t>
      </w:r>
    </w:p>
    <w:p w14:paraId="7C7A3228" w14:textId="77777777" w:rsidR="008C3B8E" w:rsidRPr="00866F73" w:rsidRDefault="008C3B8E" w:rsidP="008C3B8E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76E31613" w14:textId="77777777" w:rsidR="008C3B8E" w:rsidRPr="00866F73" w:rsidRDefault="008C3B8E" w:rsidP="008C3B8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6F73">
        <w:rPr>
          <w:rFonts w:ascii="Times New Roman" w:hAnsi="Times New Roman" w:cs="Times New Roman"/>
          <w:bCs/>
          <w:sz w:val="24"/>
          <w:szCs w:val="24"/>
        </w:rPr>
        <w:t>(с. Корткерос, Корткеросский район, Республика Коми)</w:t>
      </w:r>
    </w:p>
    <w:p w14:paraId="00D2C653" w14:textId="77777777" w:rsidR="008C3B8E" w:rsidRPr="00866F73" w:rsidRDefault="008C3B8E" w:rsidP="008C3B8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10F1587" w14:textId="77777777" w:rsidR="008C3B8E" w:rsidRPr="00866F73" w:rsidRDefault="008C3B8E" w:rsidP="008C3B8E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2AB99870" w14:textId="77777777" w:rsidR="008E603A" w:rsidRPr="00866F73" w:rsidRDefault="001A4974" w:rsidP="0070490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5C73" w:rsidRPr="00866F73">
        <w:rPr>
          <w:rFonts w:ascii="Times New Roman" w:hAnsi="Times New Roman" w:cs="Times New Roman"/>
          <w:bCs/>
          <w:sz w:val="28"/>
          <w:szCs w:val="28"/>
        </w:rPr>
        <w:t>Об утверждении положения о предотвращении и урегулировании конфликта интересов МБУ «Корткеросский Центр культуры и досуга»</w:t>
      </w:r>
    </w:p>
    <w:p w14:paraId="2D19CF1A" w14:textId="77777777" w:rsidR="00681D1A" w:rsidRPr="00866F73" w:rsidRDefault="00681D1A" w:rsidP="000C1D52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522AE270" w14:textId="014078D3" w:rsidR="003D4586" w:rsidRPr="00866F73" w:rsidRDefault="000F3E25" w:rsidP="000F3E25">
      <w:pPr>
        <w:pStyle w:val="HTML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63D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 декабря 2008 года № 273-ФЗ «О противодействии коррупции»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3D2">
        <w:rPr>
          <w:rFonts w:ascii="Times New Roman" w:hAnsi="Times New Roman" w:cs="Times New Roman"/>
          <w:sz w:val="28"/>
          <w:szCs w:val="28"/>
        </w:rPr>
        <w:t>(в редакции Федеральных законов от 11.07.2011 г.№200-ФЗ, от 21.11.2011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3D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3D2">
        <w:rPr>
          <w:rFonts w:ascii="Times New Roman" w:hAnsi="Times New Roman" w:cs="Times New Roman"/>
          <w:sz w:val="28"/>
          <w:szCs w:val="28"/>
        </w:rPr>
        <w:t>329-ФЗ)</w:t>
      </w:r>
      <w:r w:rsidR="00FA5C73" w:rsidRPr="00866F73">
        <w:rPr>
          <w:rFonts w:ascii="Times New Roman" w:hAnsi="Times New Roman" w:cs="Times New Roman"/>
          <w:bCs/>
          <w:sz w:val="28"/>
          <w:szCs w:val="28"/>
        </w:rPr>
        <w:t>,</w:t>
      </w:r>
    </w:p>
    <w:p w14:paraId="523DB78B" w14:textId="77777777" w:rsidR="00FA5C73" w:rsidRPr="00866F73" w:rsidRDefault="00FA5C73" w:rsidP="003D45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2ED2C14" w14:textId="77777777" w:rsidR="000C1D52" w:rsidRPr="00866F73" w:rsidRDefault="003D4586" w:rsidP="003D45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ПРИКАЗЫВАЮ:</w:t>
      </w:r>
    </w:p>
    <w:p w14:paraId="7FC0C1B2" w14:textId="77777777" w:rsidR="00E62C61" w:rsidRPr="00866F73" w:rsidRDefault="00E62C61" w:rsidP="001A497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78AC77" w14:textId="77777777" w:rsidR="00FA5C73" w:rsidRPr="00866F73" w:rsidRDefault="00FA5C73" w:rsidP="00FA5C73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Утвердить Положение о предотвращении и урегулировании конфликта интересов МБУ «Корткеросский центр культуры и досуга» (Приложение).</w:t>
      </w:r>
    </w:p>
    <w:p w14:paraId="0E7D387C" w14:textId="77777777" w:rsidR="001A4974" w:rsidRPr="00866F73" w:rsidRDefault="001A4974" w:rsidP="001A497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ECAC35" w14:textId="77777777" w:rsidR="001A4974" w:rsidRPr="00866F73" w:rsidRDefault="001A4974" w:rsidP="001A497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97722D" w14:textId="77777777" w:rsidR="001A4974" w:rsidRPr="00866F73" w:rsidRDefault="001A4974" w:rsidP="001A4974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2DAD98" w14:textId="77777777" w:rsidR="00AF5C19" w:rsidRPr="00866F73" w:rsidRDefault="00AF5C19" w:rsidP="007926C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4695798" w14:textId="508E6B8E" w:rsidR="007926C7" w:rsidRPr="00866F73" w:rsidRDefault="00866F73" w:rsidP="007926C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Директор                                                                                   </w:t>
      </w:r>
      <w:r w:rsidR="000F3E25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       Захаренко М.А.</w:t>
      </w:r>
    </w:p>
    <w:p w14:paraId="28521E9D" w14:textId="77777777" w:rsidR="00A31407" w:rsidRPr="00866F73" w:rsidRDefault="008C3B8E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866F73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14:paraId="716D2FF2" w14:textId="77777777" w:rsidR="00A31407" w:rsidRPr="00866F73" w:rsidRDefault="00A31407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04D538A0" w14:textId="77777777" w:rsidR="00A31407" w:rsidRPr="00866F73" w:rsidRDefault="00A31407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02EA0036" w14:textId="77777777" w:rsidR="00A31407" w:rsidRPr="00866F73" w:rsidRDefault="00A31407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6616BFED" w14:textId="77777777" w:rsidR="00A31407" w:rsidRPr="00866F73" w:rsidRDefault="00A31407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11CDDCAA" w14:textId="77777777" w:rsidR="00A31407" w:rsidRPr="00866F73" w:rsidRDefault="00A31407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21973004" w14:textId="77777777" w:rsidR="00A31407" w:rsidRPr="00866F73" w:rsidRDefault="00A31407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4019BD27" w14:textId="77777777" w:rsidR="00A31407" w:rsidRPr="00866F73" w:rsidRDefault="00A31407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tbl>
      <w:tblPr>
        <w:tblpPr w:leftFromText="180" w:rightFromText="180" w:vertAnchor="text" w:horzAnchor="margin" w:tblpY="29"/>
        <w:tblW w:w="10234" w:type="dxa"/>
        <w:tblLook w:val="0000" w:firstRow="0" w:lastRow="0" w:firstColumn="0" w:lastColumn="0" w:noHBand="0" w:noVBand="0"/>
      </w:tblPr>
      <w:tblGrid>
        <w:gridCol w:w="3474"/>
        <w:gridCol w:w="876"/>
        <w:gridCol w:w="5884"/>
      </w:tblGrid>
      <w:tr w:rsidR="00866F73" w:rsidRPr="00866F73" w14:paraId="4AFE6646" w14:textId="77777777" w:rsidTr="00866F73">
        <w:trPr>
          <w:trHeight w:val="904"/>
        </w:trPr>
        <w:tc>
          <w:tcPr>
            <w:tcW w:w="3474" w:type="dxa"/>
          </w:tcPr>
          <w:p w14:paraId="7431A8B8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02297D3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A275298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1985C00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76" w:type="dxa"/>
          </w:tcPr>
          <w:p w14:paraId="1D0E2A1E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3728AA1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C3D1224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DEDA5C6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0FD8DB2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A31CDBE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84" w:type="dxa"/>
            <w:tcBorders>
              <w:left w:val="nil"/>
            </w:tcBorders>
          </w:tcPr>
          <w:p w14:paraId="53AEB0F6" w14:textId="02C100C4" w:rsidR="00866F73" w:rsidRPr="00866F73" w:rsidRDefault="00866F73" w:rsidP="00866F73">
            <w:pPr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F73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к Приказу № 9</w:t>
            </w:r>
            <w:r w:rsidR="000F3E25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866F73">
              <w:rPr>
                <w:rFonts w:ascii="Times New Roman" w:hAnsi="Times New Roman" w:cs="Times New Roman"/>
                <w:bCs/>
                <w:sz w:val="24"/>
                <w:szCs w:val="24"/>
              </w:rPr>
              <w:t>-од от 09.01.2024 г.</w:t>
            </w:r>
          </w:p>
          <w:p w14:paraId="6FC7BD62" w14:textId="77777777" w:rsidR="00866F73" w:rsidRPr="00866F73" w:rsidRDefault="00866F73" w:rsidP="00866F73">
            <w:pPr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F73">
              <w:rPr>
                <w:rFonts w:ascii="Times New Roman" w:hAnsi="Times New Roman" w:cs="Times New Roman"/>
                <w:bCs/>
                <w:sz w:val="24"/>
                <w:szCs w:val="24"/>
              </w:rPr>
              <w:t>«Об утверждении положения о предотвращении и урегулировании конфликта интересов МБУ «Корткеросский ЦКД»</w:t>
            </w:r>
          </w:p>
          <w:p w14:paraId="5CB947A5" w14:textId="77777777" w:rsidR="00866F73" w:rsidRPr="00866F73" w:rsidRDefault="00866F73" w:rsidP="00866F73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8BA2F00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Положение о предотвращении и урегулировании </w:t>
      </w:r>
    </w:p>
    <w:p w14:paraId="19AA01F9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конфликта интересов</w:t>
      </w:r>
    </w:p>
    <w:p w14:paraId="2A1A6162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МБУ «Корткеросский центр культуры и досуга»</w:t>
      </w:r>
    </w:p>
    <w:p w14:paraId="5116C1B8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1296DE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Положение о предотвращении и урегулировании конфликта интересов МБУ «Корткеросский центр культуры и досуга» (далее – Учреждение), разработано в соответствии с Федеральным законом от 25 декабря 2008 года № 273-ФЗ «О противодействии коррупции» и Методическими рекомендациями по разработке и принятию организационных мер по предупреждению коррупции от 08 ноября 2013 года, разработанными Министерством труда и социальной защиты Российской Федерации.</w:t>
      </w:r>
    </w:p>
    <w:p w14:paraId="7132B97B" w14:textId="77777777" w:rsidR="00A31407" w:rsidRPr="00866F73" w:rsidRDefault="00A31407" w:rsidP="00A31407">
      <w:pPr>
        <w:pStyle w:val="a3"/>
        <w:spacing w:before="100" w:beforeAutospacing="1" w:after="100" w:afterAutospacing="1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202A72F" w14:textId="77777777" w:rsidR="00A31407" w:rsidRPr="00866F73" w:rsidRDefault="00A31407" w:rsidP="00A31407">
      <w:pPr>
        <w:pStyle w:val="a3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ЦЕЛИ И ЗАДАЧИ ПОЛОЖЕНИЯ О КОНФЛИКТЕ ИНТЕРЕСОВ</w:t>
      </w:r>
    </w:p>
    <w:p w14:paraId="465FE42A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Своевременное выявление конфликта интересов в деятельности работников Учреждения является одним из ключевых элементов предотвращения коррупционных правонарушений.</w:t>
      </w:r>
    </w:p>
    <w:p w14:paraId="67C0F9FE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Целью положения о конфликте интересов является регулирование и предотвращение конфликта интересов в деятельности работников Учреждения и возможных негативных последствий конфликта интересов для самого Учреждения. </w:t>
      </w:r>
    </w:p>
    <w:p w14:paraId="71438433" w14:textId="77777777" w:rsidR="00A31407" w:rsidRPr="00866F73" w:rsidRDefault="00A31407" w:rsidP="00A31407">
      <w:pPr>
        <w:pStyle w:val="a3"/>
        <w:spacing w:before="100" w:beforeAutospacing="1" w:after="100" w:afterAutospacing="1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Основной задачей данного положения является ограничение влияния частных интересов, личной заинтересованности работников на реализуемые ими трудовые функции, принимаемые деловые решения.</w:t>
      </w:r>
    </w:p>
    <w:p w14:paraId="46338D31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2. ИСПОЛЬЗУЕМЫЕ В ПОЛОЖЕНИИ ПОНЯТИЯ И ОПРЕДЕЛЕНИЯ</w:t>
      </w:r>
    </w:p>
    <w:p w14:paraId="5045B368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i/>
          <w:sz w:val="28"/>
          <w:szCs w:val="28"/>
        </w:rPr>
        <w:t>Конфликт интересов</w:t>
      </w: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–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</w:t>
      </w:r>
    </w:p>
    <w:p w14:paraId="1D0079EB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Личная заинтересованность работника (представителя организации) </w:t>
      </w:r>
      <w:r w:rsidRPr="00866F73">
        <w:rPr>
          <w:rFonts w:ascii="Times New Roman" w:hAnsi="Times New Roman" w:cs="Times New Roman"/>
          <w:bCs/>
          <w:sz w:val="28"/>
          <w:szCs w:val="28"/>
        </w:rPr>
        <w:t>–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14:paraId="3651FDBE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i/>
          <w:sz w:val="28"/>
          <w:szCs w:val="28"/>
        </w:rPr>
        <w:t>Положение о конфликте интересов (далее положение)</w:t>
      </w: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– это внутренний документ Учреждения, устанавливающий порядок выявления и урегулирования конфликтов интересов, возникающих у работников Учреждения в ходе выполнения ими трудовых обязанностей.</w:t>
      </w:r>
    </w:p>
    <w:p w14:paraId="028045E8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color w:val="4F81BD" w:themeColor="accent1"/>
          <w:sz w:val="28"/>
          <w:szCs w:val="28"/>
        </w:rPr>
      </w:pPr>
    </w:p>
    <w:p w14:paraId="0E068DA1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3.</w:t>
      </w:r>
      <w:r w:rsidRPr="00866F73">
        <w:rPr>
          <w:rFonts w:ascii="Times New Roman" w:hAnsi="Times New Roman" w:cs="Times New Roman"/>
          <w:bCs/>
          <w:sz w:val="28"/>
          <w:szCs w:val="28"/>
        </w:rPr>
        <w:tab/>
        <w:t>КРУГ ЛИЦ, ПОПАДАЮЩИХ ПОД ДЕЙСТВИЕ ПОЛОЖЕНИЯ.</w:t>
      </w:r>
    </w:p>
    <w:p w14:paraId="7E8C2116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Действие положения распространяется на всех работников Учреждения вне зависимости от уровня занимаемой должности. </w:t>
      </w:r>
    </w:p>
    <w:p w14:paraId="60DE4CDD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37AE80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4. ОСНОВНЫЕ ПРИНЦИПЫ УПРАВЛЕНИЯ КОНФЛИКТОВ ИНТЕРЕСОВ В УЧРЕЖДЕНИИ</w:t>
      </w:r>
    </w:p>
    <w:p w14:paraId="31851383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В основу работы по управлению конфликтом интересов в Учреждении положены следующие принципы:</w:t>
      </w:r>
    </w:p>
    <w:p w14:paraId="594A6799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обязательность раскрытия сведений о реальном или потенциальном конфликте интересов;</w:t>
      </w:r>
    </w:p>
    <w:p w14:paraId="16753EB6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индивидуальное рассмотрение и оценка репутационных рисков для Учреждения при выявлении каждого конфликта интересов и его урегулирование;</w:t>
      </w:r>
    </w:p>
    <w:p w14:paraId="2AF395B3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 конфиденциальность процесса раскрытия сведений о конфликте интересов и процесса его урегулирования;</w:t>
      </w:r>
    </w:p>
    <w:p w14:paraId="5DC2B5BD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соблюдение баланса интересов Учреждения и работника при урегулировании конфликта интересов;</w:t>
      </w:r>
    </w:p>
    <w:p w14:paraId="11C2F8F7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14:paraId="7FD5E562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CDCFA5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5.ОБЯЗАННОСТИ РАБОТНИКОВ В СВЯЗИ РАСКРЫТИЕМ И УРЕГУЛИРОВАНИЕМ КОНФЛИКТА ИНТЕРЕСОВ</w:t>
      </w:r>
    </w:p>
    <w:p w14:paraId="742D2B65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Работники Учреждения в связи с раскрытием и урегулированием конфликта интересов обязаны:</w:t>
      </w:r>
    </w:p>
    <w:p w14:paraId="03E6A4FA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 - при принятии решений по деловым вопросам и выполнении своих трудовых обязанностей руководствоваться интересами Учреждения – без учета своих личных интересов, интересов своих родственников и друзей;</w:t>
      </w:r>
    </w:p>
    <w:p w14:paraId="4253B1DC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- избегать (по возможности) ситуаций и обстоятельств, которые могут привести к конфликту интересов;</w:t>
      </w:r>
    </w:p>
    <w:p w14:paraId="1FDB10C0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- раскрывать возникший (реальный) или потенциальный конфликт интересов;</w:t>
      </w:r>
    </w:p>
    <w:p w14:paraId="321E68B2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содействовать урегулированию возникшего конфликта интересов.</w:t>
      </w:r>
    </w:p>
    <w:p w14:paraId="53A3516D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77977E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6. ПОРЯДОК РАСКРЫТИЯ КОНФЛИКТА ИНТЕРЕСОВ РАБОТНИКОМ УЧРЕЖДЕНИЯ И ПОРЯДОК ЕГО УРЕГУЛИРОВАНИЯ</w:t>
      </w:r>
    </w:p>
    <w:p w14:paraId="4EA5C407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 Для раскрытия конфликта интересов работники Учреждения могут использовать следующие способы:</w:t>
      </w:r>
    </w:p>
    <w:p w14:paraId="485E1C7B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раскрытие сведений о конфликте интересов при приеме на работу;</w:t>
      </w:r>
    </w:p>
    <w:p w14:paraId="5D776FA7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- раскрытие сведений о конфликте интересов при назначении на новую должность;</w:t>
      </w:r>
    </w:p>
    <w:p w14:paraId="4A0332C2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- разовое раскрытие сведений по мере возникновения ситуаций конфликта интересов.</w:t>
      </w:r>
    </w:p>
    <w:p w14:paraId="77BF1530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Раскрытие сведений о конфликте интересов осуществляется в письменном виде.  Допускается первоначальное раскрытие конфликта интересов в устной форме с последующей фиксацией в письменном виде.</w:t>
      </w:r>
    </w:p>
    <w:p w14:paraId="789CD509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Учреждение принимает на себя обязательство конфиденциального рассмотрения представленных сведений и урегулирования конфликта интересов.</w:t>
      </w:r>
    </w:p>
    <w:p w14:paraId="33A5AB30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Поступившая информация должна быть тщательно проверена уполномоченным на это должностным лицом с целью оценки серьезности возникающих для Учреждения рисков и выбора наиболее подходящей формы урегулирования конфликта интересов.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</w:p>
    <w:p w14:paraId="75A52015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 В случае если конфликт интересов имеет место, то для его разрешения Учреждение может использовать следующие способы, в том числе:</w:t>
      </w:r>
    </w:p>
    <w:p w14:paraId="5ACCC90D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ограничение доступа работника к конкретной информации, которая может затрагивать личные интересы работника;</w:t>
      </w:r>
    </w:p>
    <w:p w14:paraId="7D49E8A3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добровольный отказ работника организации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14:paraId="176EAB28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пересмотр и изменение функциональных обязанностей работника;</w:t>
      </w:r>
    </w:p>
    <w:p w14:paraId="0BA8CD6A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временное отстранение работника от должности, если его личные интересы входят в противоречие с функциональными обязанностями;</w:t>
      </w:r>
    </w:p>
    <w:p w14:paraId="65DD119B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lastRenderedPageBreak/>
        <w:t>-перевод работника на должность, предусматривающую выполнение функциональных обязанностей, не связанных с конфликтом интересов;</w:t>
      </w:r>
    </w:p>
    <w:p w14:paraId="6CF946B1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отказ работника от своего личного интереса, порождающего конфликт с интересами организации;</w:t>
      </w:r>
    </w:p>
    <w:p w14:paraId="3219D6E8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увольнение работника из организации по инициативе работника;</w:t>
      </w:r>
    </w:p>
    <w:p w14:paraId="24565D9F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14:paraId="20526059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Приведенный перечень способов разрешения конфликта интересов не является исчерпывающим. В каждом конкретном случае по договоренности Учреждения и работника, раскрывшего сведения о конфликте интересов, могут быть найдены иные формы его урегулирования.</w:t>
      </w:r>
    </w:p>
    <w:p w14:paraId="13470A08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При разрешении имеющегося конфликта интересов выбирается наиболее «мягкая» мера урегулирования из возможных с учетом существующих обстоятельств. Более «жесткие» меры используются только в случае, когда это вызвано реальной необходимостью или в случае, если более «мягкие» меры оказались недостаточно эффективными. При принятии решения о выборе конкретного метода разрешения конфликта интересов учитывается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14:paraId="27588443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D6D064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7. ЛИЦА, ОТВЕТСТВЕННЫЕ ЗА ПРИЕМ СВЕДЕНИЙ О ВОЗНИКШЕМ (ИМЕЮЩИМСЯ) КОНФЛИКТЕ ИНТЕРЕСОВ И РАССМОТРЕНИЯ ЭТИХ СВЕДЕНИЙ</w:t>
      </w:r>
    </w:p>
    <w:p w14:paraId="10D53A5E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Должностными лицами, ответственными за прием сведений о возникающих (имеющихся) конфликтах интересов, является:  </w:t>
      </w:r>
    </w:p>
    <w:p w14:paraId="5F2CCF69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866F73">
        <w:rPr>
          <w:rFonts w:ascii="Times New Roman" w:hAnsi="Times New Roman" w:cs="Times New Roman"/>
          <w:bCs/>
          <w:sz w:val="28"/>
          <w:szCs w:val="28"/>
        </w:rPr>
        <w:tab/>
        <w:t>Директор;</w:t>
      </w:r>
    </w:p>
    <w:p w14:paraId="551DCFE0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Заместитель директора по административно-хозяйственным и общим вопросам;</w:t>
      </w:r>
    </w:p>
    <w:p w14:paraId="73BCB151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Заместитель директора по творческой деятельности;</w:t>
      </w:r>
    </w:p>
    <w:p w14:paraId="28EB74AD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 Заведующие филиалов Учреждения;</w:t>
      </w:r>
    </w:p>
    <w:p w14:paraId="6BE7DB40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Заведующие отделами Учреждения</w:t>
      </w:r>
    </w:p>
    <w:p w14:paraId="38D30E40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- должностное лицо, ответственное за противодействие коррупции в Учреждении.</w:t>
      </w:r>
    </w:p>
    <w:p w14:paraId="13D68B96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Полученная информация ответственными лицами немедленно доводится до Директора Учреждения, который назначает срок ее рассмотрения.</w:t>
      </w:r>
    </w:p>
    <w:p w14:paraId="28B5C745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 xml:space="preserve">Срок рассмотрения информации о возникающих (имеющихся) конфликтов интересов не может превышать десять рабочих дней. </w:t>
      </w:r>
    </w:p>
    <w:p w14:paraId="60AA6A5F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lastRenderedPageBreak/>
        <w:t>Рассмотрение полученной информации проводится комиссией по противодействию коррупции, утвержденной приказом учреждения.</w:t>
      </w:r>
    </w:p>
    <w:p w14:paraId="04BFA338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Участие работника, подавшего сведения о возникающих (имеющихся) конфликтах интересов, возможно в заседании комиссии по его желанию.</w:t>
      </w:r>
    </w:p>
    <w:p w14:paraId="46E5539D" w14:textId="77777777" w:rsidR="00A31407" w:rsidRPr="00866F73" w:rsidRDefault="00A31407" w:rsidP="00A31407">
      <w:pPr>
        <w:spacing w:before="100" w:beforeAutospacing="1" w:after="100" w:afterAutospacing="1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Полученная информация комиссией всесторонне изучается и по ней принимается решение о способе разрешения возникшего (имеющегося) конфликта интересов или об его отсутствии. Решение комиссии оформляется протоколом и доводится до сведения генерального директора Учреждения. Решения комиссии носят рекомендательный характер. Окончательное решение о способе разрешения возникшего (имеющегося) конфликта интересов, если он действительно имеет место, принимает Директор Учреждения в течение трех рабочих дней с момента получения протокола заседания комиссии.</w:t>
      </w:r>
    </w:p>
    <w:p w14:paraId="66C597AF" w14:textId="77777777" w:rsidR="00A31407" w:rsidRPr="00866F73" w:rsidRDefault="00A31407" w:rsidP="00A31407">
      <w:pPr>
        <w:pStyle w:val="a3"/>
        <w:ind w:left="0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8.ОТВЕТСТВЕННОСТЬ РАБОТНИКОВ УЧРЕЖДЕНИЯ ЗА НЕСОБЛЮДЕНИЕ ПОЛОЖЕНИЯ О КОНФЛИКТЕ ИНТЕРЕСОВ</w:t>
      </w:r>
    </w:p>
    <w:p w14:paraId="0065E2AF" w14:textId="77777777" w:rsidR="00A31407" w:rsidRPr="00866F73" w:rsidRDefault="00A31407" w:rsidP="00A31407">
      <w:pPr>
        <w:pStyle w:val="a3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За несоблюдение положения о конфликте интересов работник может быть привлечен к ответственности, в соответствии с действующим законодательством.</w:t>
      </w:r>
    </w:p>
    <w:p w14:paraId="5FB5FDC2" w14:textId="77777777" w:rsidR="00A31407" w:rsidRPr="00866F73" w:rsidRDefault="00A31407" w:rsidP="00A31407">
      <w:pPr>
        <w:pStyle w:val="a3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6F73">
        <w:rPr>
          <w:rFonts w:ascii="Times New Roman" w:hAnsi="Times New Roman" w:cs="Times New Roman"/>
          <w:bCs/>
          <w:sz w:val="28"/>
          <w:szCs w:val="28"/>
        </w:rPr>
        <w:t>За непринятие работником мер по предотвращению или урегулированию конфликта интересов, стороной которого он является, с ним по инициативе работодателя в связи с утратой доверия по пункту 7.1 части 1 статьи 81 ТК РФ может быть расторгнут трудовой договор.</w:t>
      </w:r>
    </w:p>
    <w:p w14:paraId="63D4DF6E" w14:textId="77777777" w:rsidR="008C3B8E" w:rsidRPr="00866F73" w:rsidRDefault="008C3B8E" w:rsidP="000C1D5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8C3B8E" w:rsidRPr="00866F73" w:rsidSect="000F65F3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C62B8"/>
    <w:multiLevelType w:val="hybridMultilevel"/>
    <w:tmpl w:val="63A05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E640D"/>
    <w:multiLevelType w:val="hybridMultilevel"/>
    <w:tmpl w:val="3BBE3AF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71A261C"/>
    <w:multiLevelType w:val="hybridMultilevel"/>
    <w:tmpl w:val="EA02F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D36BD"/>
    <w:multiLevelType w:val="hybridMultilevel"/>
    <w:tmpl w:val="74323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3064"/>
    <w:multiLevelType w:val="hybridMultilevel"/>
    <w:tmpl w:val="27E26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6A70B9"/>
    <w:multiLevelType w:val="hybridMultilevel"/>
    <w:tmpl w:val="047ED9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F918CD"/>
    <w:multiLevelType w:val="hybridMultilevel"/>
    <w:tmpl w:val="E8D86182"/>
    <w:lvl w:ilvl="0" w:tplc="8BACCA5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1538085512">
    <w:abstractNumId w:val="4"/>
  </w:num>
  <w:num w:numId="2" w16cid:durableId="1264533184">
    <w:abstractNumId w:val="2"/>
  </w:num>
  <w:num w:numId="3" w16cid:durableId="1249578440">
    <w:abstractNumId w:val="1"/>
  </w:num>
  <w:num w:numId="4" w16cid:durableId="720709242">
    <w:abstractNumId w:val="3"/>
  </w:num>
  <w:num w:numId="5" w16cid:durableId="1614240627">
    <w:abstractNumId w:val="5"/>
  </w:num>
  <w:num w:numId="6" w16cid:durableId="390619278">
    <w:abstractNumId w:val="0"/>
  </w:num>
  <w:num w:numId="7" w16cid:durableId="2626105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FC"/>
    <w:rsid w:val="00012961"/>
    <w:rsid w:val="000360F1"/>
    <w:rsid w:val="00037775"/>
    <w:rsid w:val="00043965"/>
    <w:rsid w:val="000920CB"/>
    <w:rsid w:val="000C1D52"/>
    <w:rsid w:val="000F3E25"/>
    <w:rsid w:val="000F65F3"/>
    <w:rsid w:val="001A41FC"/>
    <w:rsid w:val="001A4974"/>
    <w:rsid w:val="001E02B9"/>
    <w:rsid w:val="002238C3"/>
    <w:rsid w:val="002639D6"/>
    <w:rsid w:val="00382293"/>
    <w:rsid w:val="003D4586"/>
    <w:rsid w:val="00406F71"/>
    <w:rsid w:val="0048216D"/>
    <w:rsid w:val="004F53F0"/>
    <w:rsid w:val="005134F0"/>
    <w:rsid w:val="00533A75"/>
    <w:rsid w:val="00567EA0"/>
    <w:rsid w:val="005A382F"/>
    <w:rsid w:val="00643B2E"/>
    <w:rsid w:val="00681D1A"/>
    <w:rsid w:val="006E4CBD"/>
    <w:rsid w:val="00704900"/>
    <w:rsid w:val="0075567D"/>
    <w:rsid w:val="007926C7"/>
    <w:rsid w:val="007B7905"/>
    <w:rsid w:val="007D5552"/>
    <w:rsid w:val="007E6D2B"/>
    <w:rsid w:val="00866F73"/>
    <w:rsid w:val="008975E5"/>
    <w:rsid w:val="008C3B8E"/>
    <w:rsid w:val="008E603A"/>
    <w:rsid w:val="00905B60"/>
    <w:rsid w:val="00A038FF"/>
    <w:rsid w:val="00A21F1E"/>
    <w:rsid w:val="00A31407"/>
    <w:rsid w:val="00A47B77"/>
    <w:rsid w:val="00A53EE0"/>
    <w:rsid w:val="00AE6BC4"/>
    <w:rsid w:val="00AF2F3C"/>
    <w:rsid w:val="00AF5C19"/>
    <w:rsid w:val="00B82FBC"/>
    <w:rsid w:val="00BD42CB"/>
    <w:rsid w:val="00BF0482"/>
    <w:rsid w:val="00C007AF"/>
    <w:rsid w:val="00C6258B"/>
    <w:rsid w:val="00CA30A1"/>
    <w:rsid w:val="00D77E47"/>
    <w:rsid w:val="00DD667A"/>
    <w:rsid w:val="00E62C61"/>
    <w:rsid w:val="00E747B5"/>
    <w:rsid w:val="00EB4AF5"/>
    <w:rsid w:val="00F47DB9"/>
    <w:rsid w:val="00FA5C73"/>
    <w:rsid w:val="00FB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D6491"/>
  <w15:docId w15:val="{BF82547C-7D1E-4772-BA70-48F093C4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D52"/>
    <w:pPr>
      <w:ind w:left="720"/>
      <w:contextualSpacing/>
    </w:pPr>
  </w:style>
  <w:style w:type="paragraph" w:styleId="HTML">
    <w:name w:val="HTML Preformatted"/>
    <w:basedOn w:val="a"/>
    <w:link w:val="HTML0"/>
    <w:rsid w:val="000F3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0F3E2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Досуг</dc:creator>
  <cp:lastModifiedBy>New</cp:lastModifiedBy>
  <cp:revision>3</cp:revision>
  <cp:lastPrinted>2024-01-31T07:02:00Z</cp:lastPrinted>
  <dcterms:created xsi:type="dcterms:W3CDTF">2024-01-31T07:02:00Z</dcterms:created>
  <dcterms:modified xsi:type="dcterms:W3CDTF">2024-01-31T07:13:00Z</dcterms:modified>
</cp:coreProperties>
</file>